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4DC0" w14:textId="77777777" w:rsidR="007A3159" w:rsidRPr="007A3159" w:rsidRDefault="007A3159" w:rsidP="007A3159">
      <w:pPr>
        <w:rPr>
          <w:rFonts w:ascii="Roboto" w:hAnsi="Roboto"/>
          <w:color w:val="EE0000"/>
          <w:sz w:val="22"/>
          <w:szCs w:val="22"/>
        </w:rPr>
      </w:pPr>
      <w:r w:rsidRPr="007A3159">
        <w:rPr>
          <w:rFonts w:ascii="Roboto" w:hAnsi="Roboto"/>
          <w:b/>
          <w:bCs/>
          <w:color w:val="EE0000"/>
          <w:sz w:val="22"/>
          <w:szCs w:val="22"/>
        </w:rPr>
        <w:t>TRAINING COURSES</w:t>
      </w:r>
    </w:p>
    <w:tbl>
      <w:tblPr>
        <w:tblW w:w="10179" w:type="dxa"/>
        <w:tblLayout w:type="fixed"/>
        <w:tblLook w:val="0000" w:firstRow="0" w:lastRow="0" w:firstColumn="0" w:lastColumn="0" w:noHBand="0" w:noVBand="0"/>
      </w:tblPr>
      <w:tblGrid>
        <w:gridCol w:w="3759"/>
        <w:gridCol w:w="6420"/>
      </w:tblGrid>
      <w:tr w:rsidR="00A63460" w:rsidRPr="007A3159" w14:paraId="65AA8055"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13D417EA" w14:textId="163CBBF9" w:rsidR="00A63460" w:rsidRPr="007A3159" w:rsidRDefault="007A3159" w:rsidP="00E3614D">
            <w:pPr>
              <w:rPr>
                <w:rFonts w:ascii="Roboto" w:hAnsi="Roboto"/>
                <w:sz w:val="22"/>
                <w:szCs w:val="22"/>
                <w:lang w:val="en-GB"/>
              </w:rPr>
            </w:pPr>
            <w:r w:rsidRPr="007A3159">
              <w:rPr>
                <w:rFonts w:ascii="Roboto" w:hAnsi="Roboto"/>
                <w:sz w:val="22"/>
                <w:szCs w:val="22"/>
                <w:lang w:val="en-GB"/>
              </w:rPr>
              <w:t xml:space="preserve">When is the deadline for submitting a training course </w:t>
            </w:r>
            <w:r w:rsidRPr="007A3159">
              <w:rPr>
                <w:rFonts w:ascii="Roboto" w:hAnsi="Roboto"/>
                <w:sz w:val="22"/>
                <w:szCs w:val="22"/>
                <w:lang w:val="en-GB"/>
              </w:rPr>
              <w:t>registration</w:t>
            </w:r>
            <w:r w:rsidRPr="007A3159">
              <w:rPr>
                <w:rFonts w:ascii="Roboto" w:hAnsi="Roboto"/>
                <w:sz w:val="22"/>
                <w:szCs w:val="22"/>
                <w:lang w:val="en-GB"/>
              </w:rPr>
              <w:t>?</w:t>
            </w:r>
          </w:p>
        </w:tc>
        <w:tc>
          <w:tcPr>
            <w:tcW w:w="6420" w:type="dxa"/>
            <w:tcBorders>
              <w:top w:val="single" w:sz="4" w:space="0" w:color="auto"/>
              <w:left w:val="single" w:sz="4" w:space="0" w:color="auto"/>
              <w:bottom w:val="single" w:sz="4" w:space="0" w:color="auto"/>
              <w:right w:val="single" w:sz="4" w:space="0" w:color="auto"/>
            </w:tcBorders>
          </w:tcPr>
          <w:p w14:paraId="18C6A781"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As a rule, registration for a seminar is possible up to three (3) days before the start of the training course (by the date stated on the registration form) or until all available places are filled, as the number of participants is limited.</w:t>
            </w:r>
          </w:p>
          <w:p w14:paraId="4AA63776" w14:textId="446C5541" w:rsidR="007A3159" w:rsidRPr="007A3159" w:rsidRDefault="007A3159" w:rsidP="00E3614D">
            <w:pPr>
              <w:rPr>
                <w:rFonts w:ascii="Roboto" w:hAnsi="Roboto"/>
                <w:sz w:val="22"/>
                <w:szCs w:val="22"/>
                <w:lang w:val="en-GB"/>
              </w:rPr>
            </w:pPr>
          </w:p>
        </w:tc>
      </w:tr>
      <w:tr w:rsidR="00A63460" w:rsidRPr="007A3159" w14:paraId="7F2C1D02"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590A2E3F" w14:textId="757C3D2D" w:rsidR="00A63460" w:rsidRPr="007A3159" w:rsidRDefault="007A3159" w:rsidP="00E3614D">
            <w:pPr>
              <w:rPr>
                <w:rFonts w:ascii="Roboto" w:hAnsi="Roboto"/>
                <w:sz w:val="22"/>
                <w:szCs w:val="22"/>
                <w:lang w:val="en-GB"/>
              </w:rPr>
            </w:pPr>
            <w:r w:rsidRPr="007A3159">
              <w:rPr>
                <w:rFonts w:ascii="Roboto" w:hAnsi="Roboto"/>
                <w:sz w:val="22"/>
                <w:szCs w:val="22"/>
                <w:lang w:val="en-GB"/>
              </w:rPr>
              <w:t>Where should I send the application form?</w:t>
            </w:r>
          </w:p>
        </w:tc>
        <w:tc>
          <w:tcPr>
            <w:tcW w:w="6420" w:type="dxa"/>
            <w:tcBorders>
              <w:top w:val="single" w:sz="4" w:space="0" w:color="auto"/>
              <w:left w:val="single" w:sz="4" w:space="0" w:color="auto"/>
              <w:bottom w:val="single" w:sz="4" w:space="0" w:color="auto"/>
              <w:right w:val="single" w:sz="4" w:space="0" w:color="auto"/>
            </w:tcBorders>
          </w:tcPr>
          <w:p w14:paraId="6C22AE6E"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Completed application forms are accepted by email (seminarji@sist.si) and via the online registration form in the case of an online seminar. Registration is confirmed once you receive confirmation by email.</w:t>
            </w:r>
          </w:p>
          <w:p w14:paraId="769CF9E7" w14:textId="38F2CACC" w:rsidR="007A3159" w:rsidRPr="007A3159" w:rsidRDefault="007A3159" w:rsidP="00E3614D">
            <w:pPr>
              <w:rPr>
                <w:rFonts w:ascii="Roboto" w:hAnsi="Roboto"/>
                <w:sz w:val="22"/>
                <w:szCs w:val="22"/>
                <w:lang w:val="en-GB"/>
              </w:rPr>
            </w:pPr>
          </w:p>
        </w:tc>
      </w:tr>
      <w:tr w:rsidR="00A63460" w:rsidRPr="007A3159" w14:paraId="192977BC"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5A61CCF0" w14:textId="24DB0A70" w:rsidR="00A63460" w:rsidRPr="007A3159" w:rsidRDefault="007A3159" w:rsidP="00E3614D">
            <w:pPr>
              <w:rPr>
                <w:rFonts w:ascii="Roboto" w:hAnsi="Roboto"/>
                <w:sz w:val="22"/>
                <w:szCs w:val="22"/>
                <w:lang w:val="en-GB"/>
              </w:rPr>
            </w:pPr>
            <w:r w:rsidRPr="007A3159">
              <w:rPr>
                <w:rFonts w:ascii="Roboto" w:hAnsi="Roboto"/>
                <w:sz w:val="22"/>
                <w:szCs w:val="22"/>
                <w:lang w:val="en-GB"/>
              </w:rPr>
              <w:t xml:space="preserve">How do I know that my registration for the training course was successful? </w:t>
            </w:r>
          </w:p>
        </w:tc>
        <w:tc>
          <w:tcPr>
            <w:tcW w:w="6420" w:type="dxa"/>
            <w:tcBorders>
              <w:top w:val="single" w:sz="4" w:space="0" w:color="auto"/>
              <w:left w:val="single" w:sz="4" w:space="0" w:color="auto"/>
              <w:bottom w:val="single" w:sz="4" w:space="0" w:color="auto"/>
              <w:right w:val="single" w:sz="4" w:space="0" w:color="auto"/>
            </w:tcBorders>
          </w:tcPr>
          <w:p w14:paraId="4153E5E5"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Registration for the training course is considered successful once you receive confirmation by email.</w:t>
            </w:r>
          </w:p>
          <w:p w14:paraId="74FFECB9" w14:textId="183FF5CA" w:rsidR="007A3159" w:rsidRPr="007A3159" w:rsidRDefault="007A3159" w:rsidP="00E3614D">
            <w:pPr>
              <w:rPr>
                <w:rFonts w:ascii="Roboto" w:hAnsi="Roboto"/>
                <w:sz w:val="22"/>
                <w:szCs w:val="22"/>
                <w:lang w:val="en-GB"/>
              </w:rPr>
            </w:pPr>
          </w:p>
        </w:tc>
      </w:tr>
      <w:tr w:rsidR="00A63460" w:rsidRPr="007A3159" w14:paraId="2C0C18B8"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66E32AF4" w14:textId="5C40A515" w:rsidR="00A63460" w:rsidRPr="007A3159" w:rsidRDefault="007A3159" w:rsidP="00E3614D">
            <w:pPr>
              <w:rPr>
                <w:rFonts w:ascii="Roboto" w:hAnsi="Roboto"/>
                <w:sz w:val="22"/>
                <w:szCs w:val="22"/>
                <w:lang w:val="en-GB"/>
              </w:rPr>
            </w:pPr>
            <w:r w:rsidRPr="007A3159">
              <w:rPr>
                <w:rFonts w:ascii="Roboto" w:hAnsi="Roboto"/>
                <w:sz w:val="22"/>
                <w:szCs w:val="22"/>
                <w:lang w:val="en-GB"/>
              </w:rPr>
              <w:t>What is the participation fee and what does it include?</w:t>
            </w:r>
          </w:p>
        </w:tc>
        <w:tc>
          <w:tcPr>
            <w:tcW w:w="6420" w:type="dxa"/>
            <w:tcBorders>
              <w:top w:val="single" w:sz="4" w:space="0" w:color="auto"/>
              <w:left w:val="single" w:sz="4" w:space="0" w:color="auto"/>
              <w:bottom w:val="single" w:sz="4" w:space="0" w:color="auto"/>
              <w:right w:val="single" w:sz="4" w:space="0" w:color="auto"/>
            </w:tcBorders>
          </w:tcPr>
          <w:p w14:paraId="29604151"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The participation fee is stated on the individual training registration form. The fee usually includes seminar materials, refreshments during breaks, and a certificate of participation. Any additional specifics are stated on the registration form of the individual training course.</w:t>
            </w:r>
          </w:p>
          <w:p w14:paraId="33F3D3AB" w14:textId="104BCDA2" w:rsidR="007A3159" w:rsidRPr="007A3159" w:rsidRDefault="007A3159" w:rsidP="00E3614D">
            <w:pPr>
              <w:rPr>
                <w:rFonts w:ascii="Roboto" w:hAnsi="Roboto"/>
                <w:sz w:val="22"/>
                <w:szCs w:val="22"/>
                <w:lang w:val="en-GB"/>
              </w:rPr>
            </w:pPr>
          </w:p>
        </w:tc>
      </w:tr>
      <w:tr w:rsidR="00A63460" w:rsidRPr="007A3159" w14:paraId="74219A19"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671D1D43" w14:textId="2152B63C" w:rsidR="00A63460" w:rsidRPr="007A3159" w:rsidRDefault="007A3159" w:rsidP="00E3614D">
            <w:pPr>
              <w:rPr>
                <w:rFonts w:ascii="Roboto" w:hAnsi="Roboto"/>
                <w:sz w:val="22"/>
                <w:szCs w:val="22"/>
                <w:lang w:val="en-GB"/>
              </w:rPr>
            </w:pPr>
            <w:r w:rsidRPr="007A3159">
              <w:rPr>
                <w:rFonts w:ascii="Roboto" w:hAnsi="Roboto"/>
                <w:sz w:val="22"/>
                <w:szCs w:val="22"/>
                <w:lang w:val="en-GB"/>
              </w:rPr>
              <w:t>Do you offer any discounts for training courses?</w:t>
            </w:r>
          </w:p>
        </w:tc>
        <w:tc>
          <w:tcPr>
            <w:tcW w:w="6420" w:type="dxa"/>
            <w:tcBorders>
              <w:top w:val="single" w:sz="4" w:space="0" w:color="auto"/>
              <w:left w:val="single" w:sz="4" w:space="0" w:color="auto"/>
              <w:bottom w:val="single" w:sz="4" w:space="0" w:color="auto"/>
              <w:right w:val="single" w:sz="4" w:space="0" w:color="auto"/>
            </w:tcBorders>
          </w:tcPr>
          <w:p w14:paraId="3115B93C"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Any discounts are stated on the individual registration form and are not cumulative.</w:t>
            </w:r>
          </w:p>
          <w:p w14:paraId="62F88C0C" w14:textId="243AE66F" w:rsidR="007A3159" w:rsidRPr="007A3159" w:rsidRDefault="007A3159" w:rsidP="00E3614D">
            <w:pPr>
              <w:rPr>
                <w:rFonts w:ascii="Roboto" w:hAnsi="Roboto"/>
                <w:sz w:val="22"/>
                <w:szCs w:val="22"/>
                <w:lang w:val="en-GB"/>
              </w:rPr>
            </w:pPr>
          </w:p>
        </w:tc>
      </w:tr>
      <w:tr w:rsidR="00A63460" w:rsidRPr="007A3159" w14:paraId="18B06F27"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4821A6F2" w14:textId="0CBDBB70" w:rsidR="00A63460" w:rsidRPr="007A3159" w:rsidRDefault="007A3159" w:rsidP="00E3614D">
            <w:pPr>
              <w:rPr>
                <w:rFonts w:ascii="Roboto" w:hAnsi="Roboto"/>
                <w:sz w:val="22"/>
                <w:szCs w:val="22"/>
                <w:lang w:val="en-GB"/>
              </w:rPr>
            </w:pPr>
            <w:r w:rsidRPr="007A3159">
              <w:rPr>
                <w:rFonts w:ascii="Roboto" w:hAnsi="Roboto"/>
                <w:sz w:val="22"/>
                <w:szCs w:val="22"/>
                <w:lang w:val="en-GB"/>
              </w:rPr>
              <w:t>How do I pay the participation fee?</w:t>
            </w:r>
          </w:p>
        </w:tc>
        <w:tc>
          <w:tcPr>
            <w:tcW w:w="6420" w:type="dxa"/>
            <w:tcBorders>
              <w:top w:val="single" w:sz="4" w:space="0" w:color="auto"/>
              <w:left w:val="single" w:sz="4" w:space="0" w:color="auto"/>
              <w:bottom w:val="single" w:sz="4" w:space="0" w:color="auto"/>
              <w:right w:val="single" w:sz="4" w:space="0" w:color="auto"/>
            </w:tcBorders>
          </w:tcPr>
          <w:p w14:paraId="4E0E611D" w14:textId="49C2D22D" w:rsidR="00A63460" w:rsidRPr="007A3159" w:rsidRDefault="007A3159" w:rsidP="00E3614D">
            <w:pPr>
              <w:rPr>
                <w:rFonts w:ascii="Roboto" w:hAnsi="Roboto"/>
                <w:sz w:val="22"/>
                <w:szCs w:val="22"/>
                <w:lang w:val="en-GB"/>
              </w:rPr>
            </w:pPr>
            <w:r w:rsidRPr="007A3159">
              <w:rPr>
                <w:rFonts w:ascii="Roboto" w:hAnsi="Roboto"/>
                <w:sz w:val="22"/>
                <w:szCs w:val="22"/>
                <w:lang w:val="en-GB"/>
              </w:rPr>
              <w:t>The invoice for the participation fee is issued after the seminar and must be paid within the deadline stated on the invoice.</w:t>
            </w:r>
          </w:p>
        </w:tc>
      </w:tr>
      <w:tr w:rsidR="00A63460" w:rsidRPr="007A3159" w14:paraId="6ADD77DD"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43A4E7EF" w14:textId="1D6E14BC" w:rsidR="00A63460" w:rsidRPr="007A3159" w:rsidRDefault="007A3159" w:rsidP="00E3614D">
            <w:pPr>
              <w:rPr>
                <w:rFonts w:ascii="Roboto" w:hAnsi="Roboto"/>
                <w:sz w:val="22"/>
                <w:szCs w:val="22"/>
                <w:lang w:val="en-GB"/>
              </w:rPr>
            </w:pPr>
            <w:r w:rsidRPr="007A3159">
              <w:rPr>
                <w:rFonts w:ascii="Roboto" w:hAnsi="Roboto"/>
                <w:sz w:val="22"/>
                <w:szCs w:val="22"/>
                <w:lang w:val="en-GB"/>
              </w:rPr>
              <w:t>When will I receive the invoice for the training course?</w:t>
            </w:r>
          </w:p>
        </w:tc>
        <w:tc>
          <w:tcPr>
            <w:tcW w:w="6420" w:type="dxa"/>
            <w:tcBorders>
              <w:top w:val="single" w:sz="4" w:space="0" w:color="auto"/>
              <w:left w:val="single" w:sz="4" w:space="0" w:color="auto"/>
              <w:bottom w:val="single" w:sz="4" w:space="0" w:color="auto"/>
              <w:right w:val="single" w:sz="4" w:space="0" w:color="auto"/>
            </w:tcBorders>
          </w:tcPr>
          <w:p w14:paraId="485CF503"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The invoice for the training course is issued after the training has been completed.</w:t>
            </w:r>
          </w:p>
          <w:p w14:paraId="2862A194" w14:textId="23EF0933" w:rsidR="007A3159" w:rsidRPr="007A3159" w:rsidRDefault="007A3159" w:rsidP="00E3614D">
            <w:pPr>
              <w:rPr>
                <w:rFonts w:ascii="Roboto" w:hAnsi="Roboto"/>
                <w:sz w:val="22"/>
                <w:szCs w:val="22"/>
                <w:lang w:val="en-GB"/>
              </w:rPr>
            </w:pPr>
          </w:p>
        </w:tc>
      </w:tr>
      <w:tr w:rsidR="00A63460" w:rsidRPr="007A3159" w14:paraId="5B2DA828"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4D4C55F7" w14:textId="30B54AC1" w:rsidR="00A63460" w:rsidRPr="007A3159" w:rsidRDefault="007A3159" w:rsidP="00E3614D">
            <w:pPr>
              <w:rPr>
                <w:rFonts w:ascii="Roboto" w:hAnsi="Roboto"/>
                <w:sz w:val="22"/>
                <w:szCs w:val="22"/>
                <w:lang w:val="en-GB"/>
              </w:rPr>
            </w:pPr>
            <w:r w:rsidRPr="007A3159">
              <w:rPr>
                <w:rFonts w:ascii="Roboto" w:hAnsi="Roboto"/>
                <w:sz w:val="22"/>
                <w:szCs w:val="22"/>
                <w:lang w:val="en-GB"/>
              </w:rPr>
              <w:t>Where can I find information about training courses?</w:t>
            </w:r>
          </w:p>
        </w:tc>
        <w:tc>
          <w:tcPr>
            <w:tcW w:w="6420" w:type="dxa"/>
            <w:tcBorders>
              <w:top w:val="single" w:sz="4" w:space="0" w:color="auto"/>
              <w:left w:val="single" w:sz="4" w:space="0" w:color="auto"/>
              <w:bottom w:val="single" w:sz="4" w:space="0" w:color="auto"/>
              <w:right w:val="single" w:sz="4" w:space="0" w:color="auto"/>
            </w:tcBorders>
          </w:tcPr>
          <w:p w14:paraId="235E89D4"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 xml:space="preserve">Training dates are published on the website: </w:t>
            </w:r>
            <w:hyperlink r:id="rId4" w:history="1">
              <w:r w:rsidR="00A63460" w:rsidRPr="007A3159">
                <w:rPr>
                  <w:rStyle w:val="Hiperpovezava"/>
                  <w:rFonts w:ascii="Roboto" w:eastAsiaTheme="majorEastAsia" w:hAnsi="Roboto"/>
                  <w:sz w:val="22"/>
                  <w:szCs w:val="22"/>
                  <w:lang w:val="en-GB"/>
                </w:rPr>
                <w:t>https://www.sist.si/izobrazevanja-in-storitve/izobrazevanja/koledar-izobrazevanj</w:t>
              </w:r>
            </w:hyperlink>
          </w:p>
          <w:p w14:paraId="048AC82A" w14:textId="2335461E" w:rsidR="007A3159" w:rsidRPr="007A3159" w:rsidRDefault="007A3159" w:rsidP="00E3614D">
            <w:pPr>
              <w:rPr>
                <w:rFonts w:ascii="Roboto" w:hAnsi="Roboto"/>
                <w:sz w:val="22"/>
                <w:szCs w:val="22"/>
                <w:lang w:val="en-GB"/>
              </w:rPr>
            </w:pPr>
          </w:p>
        </w:tc>
      </w:tr>
      <w:tr w:rsidR="00A63460" w:rsidRPr="007A3159" w14:paraId="43F25120"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0198E984" w14:textId="130B8CB2" w:rsidR="00A63460" w:rsidRPr="007A3159" w:rsidRDefault="007A3159" w:rsidP="00E3614D">
            <w:pPr>
              <w:rPr>
                <w:rFonts w:ascii="Roboto" w:hAnsi="Roboto"/>
                <w:sz w:val="22"/>
                <w:szCs w:val="22"/>
                <w:lang w:val="en-GB"/>
              </w:rPr>
            </w:pPr>
            <w:r w:rsidRPr="007A3159">
              <w:rPr>
                <w:rFonts w:ascii="Roboto" w:hAnsi="Roboto"/>
                <w:sz w:val="22"/>
                <w:szCs w:val="22"/>
                <w:lang w:val="en-GB"/>
              </w:rPr>
              <w:t>Where are the training courses held?</w:t>
            </w:r>
          </w:p>
        </w:tc>
        <w:tc>
          <w:tcPr>
            <w:tcW w:w="6420" w:type="dxa"/>
            <w:tcBorders>
              <w:top w:val="single" w:sz="4" w:space="0" w:color="auto"/>
              <w:left w:val="single" w:sz="4" w:space="0" w:color="auto"/>
              <w:bottom w:val="single" w:sz="4" w:space="0" w:color="auto"/>
              <w:right w:val="single" w:sz="4" w:space="0" w:color="auto"/>
            </w:tcBorders>
          </w:tcPr>
          <w:p w14:paraId="5C7890CE"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 xml:space="preserve">SIST training courses are generally held at the SIST headquarters in Ljubljana, </w:t>
            </w:r>
            <w:proofErr w:type="spellStart"/>
            <w:r w:rsidRPr="007A3159">
              <w:rPr>
                <w:rFonts w:ascii="Roboto" w:hAnsi="Roboto"/>
                <w:sz w:val="22"/>
                <w:szCs w:val="22"/>
                <w:lang w:val="en-GB"/>
              </w:rPr>
              <w:t>Ulica</w:t>
            </w:r>
            <w:proofErr w:type="spellEnd"/>
            <w:r w:rsidRPr="007A3159">
              <w:rPr>
                <w:rFonts w:ascii="Roboto" w:hAnsi="Roboto"/>
                <w:sz w:val="22"/>
                <w:szCs w:val="22"/>
                <w:lang w:val="en-GB"/>
              </w:rPr>
              <w:t xml:space="preserve"> </w:t>
            </w:r>
            <w:proofErr w:type="spellStart"/>
            <w:r w:rsidRPr="007A3159">
              <w:rPr>
                <w:rFonts w:ascii="Roboto" w:hAnsi="Roboto"/>
                <w:sz w:val="22"/>
                <w:szCs w:val="22"/>
                <w:lang w:val="en-GB"/>
              </w:rPr>
              <w:t>gledališča</w:t>
            </w:r>
            <w:proofErr w:type="spellEnd"/>
            <w:r w:rsidRPr="007A3159">
              <w:rPr>
                <w:rFonts w:ascii="Roboto" w:hAnsi="Roboto"/>
                <w:sz w:val="22"/>
                <w:szCs w:val="22"/>
                <w:lang w:val="en-GB"/>
              </w:rPr>
              <w:t xml:space="preserve"> BTC 2, in the lecture room on the 2nd floor. Online training courses are conducted via the </w:t>
            </w:r>
            <w:proofErr w:type="spellStart"/>
            <w:r w:rsidRPr="007A3159">
              <w:rPr>
                <w:rFonts w:ascii="Roboto" w:hAnsi="Roboto"/>
                <w:sz w:val="22"/>
                <w:szCs w:val="22"/>
                <w:lang w:val="en-GB"/>
              </w:rPr>
              <w:t>GoToWebinar</w:t>
            </w:r>
            <w:proofErr w:type="spellEnd"/>
            <w:r w:rsidRPr="007A3159">
              <w:rPr>
                <w:rFonts w:ascii="Roboto" w:hAnsi="Roboto"/>
                <w:sz w:val="22"/>
                <w:szCs w:val="22"/>
                <w:lang w:val="en-GB"/>
              </w:rPr>
              <w:t xml:space="preserve"> platform.</w:t>
            </w:r>
          </w:p>
          <w:p w14:paraId="62431E67" w14:textId="34654E9C" w:rsidR="007A3159" w:rsidRPr="007A3159" w:rsidRDefault="007A3159" w:rsidP="00E3614D">
            <w:pPr>
              <w:rPr>
                <w:rFonts w:ascii="Roboto" w:hAnsi="Roboto"/>
                <w:sz w:val="22"/>
                <w:szCs w:val="22"/>
                <w:lang w:val="en-GB"/>
              </w:rPr>
            </w:pPr>
          </w:p>
        </w:tc>
      </w:tr>
      <w:tr w:rsidR="00A63460" w:rsidRPr="007A3159" w14:paraId="250C9CD0"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421F19A8" w14:textId="6F549E3A" w:rsidR="00A63460" w:rsidRPr="007A3159" w:rsidRDefault="007A3159" w:rsidP="00E3614D">
            <w:pPr>
              <w:rPr>
                <w:rFonts w:ascii="Roboto" w:hAnsi="Roboto"/>
                <w:sz w:val="22"/>
                <w:szCs w:val="22"/>
                <w:lang w:val="en-GB"/>
              </w:rPr>
            </w:pPr>
            <w:r w:rsidRPr="007A3159">
              <w:rPr>
                <w:rFonts w:ascii="Roboto" w:hAnsi="Roboto"/>
                <w:sz w:val="22"/>
                <w:szCs w:val="22"/>
                <w:lang w:val="en-GB"/>
              </w:rPr>
              <w:t>Is parking provided for training course participants?</w:t>
            </w:r>
          </w:p>
        </w:tc>
        <w:tc>
          <w:tcPr>
            <w:tcW w:w="6420" w:type="dxa"/>
            <w:tcBorders>
              <w:top w:val="single" w:sz="4" w:space="0" w:color="auto"/>
              <w:left w:val="single" w:sz="4" w:space="0" w:color="auto"/>
              <w:bottom w:val="single" w:sz="4" w:space="0" w:color="auto"/>
              <w:right w:val="single" w:sz="4" w:space="0" w:color="auto"/>
            </w:tcBorders>
          </w:tcPr>
          <w:p w14:paraId="06291150" w14:textId="77777777" w:rsidR="00A63460" w:rsidRPr="007A3159" w:rsidRDefault="007A3159" w:rsidP="007A3159">
            <w:pPr>
              <w:rPr>
                <w:rFonts w:ascii="Roboto" w:hAnsi="Roboto"/>
                <w:sz w:val="22"/>
                <w:szCs w:val="22"/>
                <w:lang w:val="en-GB"/>
              </w:rPr>
            </w:pPr>
            <w:r w:rsidRPr="007A3159">
              <w:rPr>
                <w:rFonts w:ascii="Roboto" w:hAnsi="Roboto"/>
                <w:sz w:val="22"/>
                <w:szCs w:val="22"/>
                <w:lang w:val="en-GB"/>
              </w:rPr>
              <w:t>Participants are responsible for arranging their own parking. Free parking spaces are available after 9:00 a.m. near all buildings in the BTC shopping centre.</w:t>
            </w:r>
          </w:p>
          <w:p w14:paraId="3E28247D" w14:textId="772C01F1" w:rsidR="007A3159" w:rsidRPr="007A3159" w:rsidRDefault="007A3159" w:rsidP="007A3159">
            <w:pPr>
              <w:rPr>
                <w:rFonts w:ascii="Roboto" w:hAnsi="Roboto"/>
                <w:sz w:val="22"/>
                <w:szCs w:val="22"/>
                <w:lang w:val="en-GB"/>
              </w:rPr>
            </w:pPr>
          </w:p>
        </w:tc>
      </w:tr>
      <w:tr w:rsidR="00A63460" w:rsidRPr="007A3159" w14:paraId="35AB4622"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6FE8A363" w14:textId="4EAC1C60" w:rsidR="00A63460" w:rsidRPr="007A3159" w:rsidRDefault="007A3159" w:rsidP="00E3614D">
            <w:pPr>
              <w:rPr>
                <w:rFonts w:ascii="Roboto" w:hAnsi="Roboto"/>
                <w:sz w:val="22"/>
                <w:szCs w:val="22"/>
                <w:lang w:val="en-GB"/>
              </w:rPr>
            </w:pPr>
            <w:r w:rsidRPr="007A3159">
              <w:rPr>
                <w:rFonts w:ascii="Roboto" w:hAnsi="Roboto"/>
                <w:sz w:val="22"/>
                <w:szCs w:val="22"/>
                <w:lang w:val="en-GB"/>
              </w:rPr>
              <w:t>What happens if the organizer cancels a training course I have registered for?</w:t>
            </w:r>
          </w:p>
        </w:tc>
        <w:tc>
          <w:tcPr>
            <w:tcW w:w="6420" w:type="dxa"/>
            <w:tcBorders>
              <w:top w:val="single" w:sz="4" w:space="0" w:color="auto"/>
              <w:left w:val="single" w:sz="4" w:space="0" w:color="auto"/>
              <w:bottom w:val="single" w:sz="4" w:space="0" w:color="auto"/>
              <w:right w:val="single" w:sz="4" w:space="0" w:color="auto"/>
            </w:tcBorders>
          </w:tcPr>
          <w:p w14:paraId="737A7490" w14:textId="69D286B4" w:rsidR="00A63460" w:rsidRPr="007A3159" w:rsidRDefault="007A3159" w:rsidP="00E3614D">
            <w:pPr>
              <w:rPr>
                <w:rFonts w:ascii="Roboto" w:hAnsi="Roboto"/>
                <w:sz w:val="22"/>
                <w:szCs w:val="22"/>
                <w:lang w:val="en-GB"/>
              </w:rPr>
            </w:pPr>
            <w:r w:rsidRPr="007A3159">
              <w:rPr>
                <w:rFonts w:ascii="Roboto" w:hAnsi="Roboto"/>
                <w:sz w:val="22"/>
                <w:szCs w:val="22"/>
                <w:lang w:val="en-GB"/>
              </w:rPr>
              <w:t>In the event of an insufficient number of participants or other unforeseen circumstances, we reserve the right to cancel the training course. In such cases, all participants will be informed in due time and any advance payments will be refunded in full.</w:t>
            </w:r>
            <w:r w:rsidRPr="007A3159">
              <w:rPr>
                <w:rFonts w:ascii="Roboto" w:hAnsi="Roboto"/>
                <w:sz w:val="22"/>
                <w:szCs w:val="22"/>
                <w:lang w:val="en-GB"/>
              </w:rPr>
              <w:t xml:space="preserve"> </w:t>
            </w:r>
            <w:r w:rsidRPr="007A3159">
              <w:rPr>
                <w:rFonts w:ascii="Roboto" w:hAnsi="Roboto"/>
                <w:sz w:val="22"/>
                <w:szCs w:val="22"/>
                <w:lang w:val="en-GB"/>
              </w:rPr>
              <w:t>We also reserve the right to amend the programme or replace the lecturer.</w:t>
            </w:r>
            <w:r w:rsidRPr="007A3159">
              <w:rPr>
                <w:rFonts w:ascii="Roboto" w:hAnsi="Roboto"/>
                <w:sz w:val="22"/>
                <w:szCs w:val="22"/>
                <w:lang w:val="en-GB"/>
              </w:rPr>
              <w:br/>
              <w:t xml:space="preserve">We reserve the right to change the location or reschedule the </w:t>
            </w:r>
            <w:r w:rsidRPr="007A3159">
              <w:rPr>
                <w:rFonts w:ascii="Roboto" w:hAnsi="Roboto"/>
                <w:sz w:val="22"/>
                <w:szCs w:val="22"/>
                <w:lang w:val="en-GB"/>
              </w:rPr>
              <w:lastRenderedPageBreak/>
              <w:t>training course. Participants will be informed of any changes in due time.</w:t>
            </w:r>
          </w:p>
          <w:p w14:paraId="3BD6ACAD" w14:textId="77777777" w:rsidR="00A63460" w:rsidRPr="007A3159" w:rsidRDefault="00A63460" w:rsidP="00E3614D">
            <w:pPr>
              <w:rPr>
                <w:rFonts w:ascii="Roboto" w:hAnsi="Roboto"/>
                <w:sz w:val="22"/>
                <w:szCs w:val="22"/>
                <w:lang w:val="en-GB"/>
              </w:rPr>
            </w:pPr>
          </w:p>
        </w:tc>
      </w:tr>
      <w:tr w:rsidR="00A63460" w:rsidRPr="007A3159" w14:paraId="37E14383"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06AE65AA" w14:textId="552165B7" w:rsidR="00A63460" w:rsidRPr="007A3159" w:rsidRDefault="007A3159" w:rsidP="00E3614D">
            <w:pPr>
              <w:rPr>
                <w:rFonts w:ascii="Roboto" w:hAnsi="Roboto"/>
                <w:sz w:val="22"/>
                <w:szCs w:val="22"/>
                <w:lang w:val="en-GB"/>
              </w:rPr>
            </w:pPr>
            <w:r w:rsidRPr="007A3159">
              <w:rPr>
                <w:rFonts w:ascii="Roboto" w:hAnsi="Roboto"/>
                <w:sz w:val="22"/>
                <w:szCs w:val="22"/>
                <w:lang w:val="en-GB"/>
              </w:rPr>
              <w:lastRenderedPageBreak/>
              <w:t>What if I have registered but cannot attend the training course?</w:t>
            </w:r>
          </w:p>
        </w:tc>
        <w:tc>
          <w:tcPr>
            <w:tcW w:w="6420" w:type="dxa"/>
            <w:tcBorders>
              <w:top w:val="single" w:sz="4" w:space="0" w:color="auto"/>
              <w:left w:val="single" w:sz="4" w:space="0" w:color="auto"/>
              <w:bottom w:val="single" w:sz="4" w:space="0" w:color="auto"/>
              <w:right w:val="single" w:sz="4" w:space="0" w:color="auto"/>
            </w:tcBorders>
          </w:tcPr>
          <w:p w14:paraId="538EFE1A" w14:textId="77777777" w:rsidR="007A3159" w:rsidRPr="007A3159" w:rsidRDefault="007A3159" w:rsidP="007A3159">
            <w:pPr>
              <w:rPr>
                <w:rFonts w:ascii="Roboto" w:hAnsi="Roboto"/>
                <w:sz w:val="22"/>
                <w:szCs w:val="22"/>
                <w:lang w:val="en-GB"/>
              </w:rPr>
            </w:pPr>
            <w:r w:rsidRPr="007A3159">
              <w:rPr>
                <w:rFonts w:ascii="Roboto" w:hAnsi="Roboto"/>
                <w:sz w:val="22"/>
                <w:szCs w:val="22"/>
                <w:lang w:val="en-GB"/>
              </w:rPr>
              <w:t>Written cancellations are accepted up to three (3) working days before the training course. In this case, the participation fee will be refunded in full. For cancellations after this deadline or in the event of non-attendance, the full participation fee will be charged.</w:t>
            </w:r>
          </w:p>
          <w:p w14:paraId="7D65725D" w14:textId="77777777" w:rsidR="00A63460" w:rsidRPr="007A3159" w:rsidRDefault="00A63460" w:rsidP="00E3614D">
            <w:pPr>
              <w:rPr>
                <w:rFonts w:ascii="Roboto" w:hAnsi="Roboto"/>
                <w:sz w:val="22"/>
                <w:szCs w:val="22"/>
                <w:lang w:val="en-GB"/>
              </w:rPr>
            </w:pPr>
          </w:p>
        </w:tc>
      </w:tr>
      <w:tr w:rsidR="00A63460" w:rsidRPr="007A3159" w14:paraId="1F737ED4"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57E7B774" w14:textId="7B7B551F" w:rsidR="00A63460" w:rsidRPr="007A3159" w:rsidRDefault="007A3159" w:rsidP="00E3614D">
            <w:pPr>
              <w:rPr>
                <w:rFonts w:ascii="Roboto" w:hAnsi="Roboto"/>
                <w:sz w:val="22"/>
                <w:szCs w:val="22"/>
                <w:lang w:val="en-GB"/>
              </w:rPr>
            </w:pPr>
            <w:r w:rsidRPr="007A3159">
              <w:rPr>
                <w:rFonts w:ascii="Roboto" w:hAnsi="Roboto"/>
                <w:sz w:val="22"/>
                <w:szCs w:val="22"/>
                <w:lang w:val="en-GB"/>
              </w:rPr>
              <w:t>How and when will I receive the training materials?</w:t>
            </w:r>
          </w:p>
        </w:tc>
        <w:tc>
          <w:tcPr>
            <w:tcW w:w="6420" w:type="dxa"/>
            <w:tcBorders>
              <w:top w:val="single" w:sz="4" w:space="0" w:color="auto"/>
              <w:left w:val="single" w:sz="4" w:space="0" w:color="auto"/>
              <w:bottom w:val="single" w:sz="4" w:space="0" w:color="auto"/>
              <w:right w:val="single" w:sz="4" w:space="0" w:color="auto"/>
            </w:tcBorders>
          </w:tcPr>
          <w:p w14:paraId="7626F03B" w14:textId="77777777" w:rsidR="00A63460" w:rsidRPr="007A3159" w:rsidRDefault="007A3159" w:rsidP="00E3614D">
            <w:pPr>
              <w:rPr>
                <w:rFonts w:ascii="Roboto" w:hAnsi="Roboto"/>
                <w:sz w:val="22"/>
                <w:szCs w:val="22"/>
                <w:lang w:val="en-GB"/>
              </w:rPr>
            </w:pPr>
            <w:r w:rsidRPr="007A3159">
              <w:rPr>
                <w:rFonts w:ascii="Roboto" w:hAnsi="Roboto"/>
                <w:sz w:val="22"/>
                <w:szCs w:val="22"/>
                <w:lang w:val="en-GB"/>
              </w:rPr>
              <w:t>Participants generally receive seminar materials in printed form on the day of the training course. In the case of an online seminar, materials are provided electronically no later than one (1) day before the training course.</w:t>
            </w:r>
          </w:p>
          <w:p w14:paraId="1441129B" w14:textId="654D7A67" w:rsidR="007A3159" w:rsidRPr="007A3159" w:rsidRDefault="007A3159" w:rsidP="00E3614D">
            <w:pPr>
              <w:rPr>
                <w:rFonts w:ascii="Roboto" w:hAnsi="Roboto"/>
                <w:sz w:val="22"/>
                <w:szCs w:val="22"/>
                <w:lang w:val="en-GB"/>
              </w:rPr>
            </w:pPr>
          </w:p>
        </w:tc>
      </w:tr>
      <w:tr w:rsidR="00A63460" w:rsidRPr="007A3159" w14:paraId="677A0D7B"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2CD55F89" w14:textId="16F5030C" w:rsidR="00A63460" w:rsidRPr="007A3159" w:rsidRDefault="007A3159" w:rsidP="00E3614D">
            <w:pPr>
              <w:rPr>
                <w:rFonts w:ascii="Roboto" w:hAnsi="Roboto"/>
                <w:sz w:val="22"/>
                <w:szCs w:val="22"/>
                <w:lang w:val="en-GB"/>
              </w:rPr>
            </w:pPr>
            <w:r w:rsidRPr="007A3159">
              <w:rPr>
                <w:rFonts w:ascii="Roboto" w:hAnsi="Roboto"/>
                <w:sz w:val="22"/>
                <w:szCs w:val="22"/>
                <w:lang w:val="en-GB"/>
              </w:rPr>
              <w:t>May I share the training materials with third parties or use them for my own business activities?</w:t>
            </w:r>
          </w:p>
        </w:tc>
        <w:tc>
          <w:tcPr>
            <w:tcW w:w="6420" w:type="dxa"/>
            <w:tcBorders>
              <w:top w:val="single" w:sz="4" w:space="0" w:color="auto"/>
              <w:left w:val="single" w:sz="4" w:space="0" w:color="auto"/>
              <w:bottom w:val="single" w:sz="4" w:space="0" w:color="auto"/>
              <w:right w:val="single" w:sz="4" w:space="0" w:color="auto"/>
            </w:tcBorders>
          </w:tcPr>
          <w:p w14:paraId="34C2566E" w14:textId="77777777" w:rsidR="007A3159" w:rsidRPr="007A3159" w:rsidRDefault="007A3159" w:rsidP="007A3159">
            <w:pPr>
              <w:rPr>
                <w:rFonts w:ascii="Roboto" w:hAnsi="Roboto"/>
                <w:sz w:val="22"/>
                <w:szCs w:val="22"/>
                <w:lang w:val="en-GB"/>
              </w:rPr>
            </w:pPr>
            <w:r w:rsidRPr="007A3159">
              <w:rPr>
                <w:rFonts w:ascii="Roboto" w:hAnsi="Roboto"/>
                <w:sz w:val="22"/>
                <w:szCs w:val="22"/>
                <w:lang w:val="en-GB"/>
              </w:rPr>
              <w:t>The seminar materials are protected by copyright and are intended for the personal use of training participants only. Reproduction or distribution of parts or the entirety of the materials without the consent of SIST is not permitted.</w:t>
            </w:r>
          </w:p>
          <w:p w14:paraId="05B40D97" w14:textId="77777777" w:rsidR="00A63460" w:rsidRPr="007A3159" w:rsidRDefault="00A63460" w:rsidP="00E3614D">
            <w:pPr>
              <w:rPr>
                <w:rFonts w:ascii="Roboto" w:hAnsi="Roboto"/>
                <w:sz w:val="22"/>
                <w:szCs w:val="22"/>
                <w:lang w:val="en-GB"/>
              </w:rPr>
            </w:pPr>
          </w:p>
        </w:tc>
      </w:tr>
      <w:tr w:rsidR="00A63460" w:rsidRPr="007A3159" w14:paraId="00B73E83" w14:textId="77777777" w:rsidTr="007A3159">
        <w:tblPrEx>
          <w:tblCellMar>
            <w:top w:w="0" w:type="dxa"/>
            <w:bottom w:w="0" w:type="dxa"/>
          </w:tblCellMar>
        </w:tblPrEx>
        <w:trPr>
          <w:trHeight w:val="429"/>
        </w:trPr>
        <w:tc>
          <w:tcPr>
            <w:tcW w:w="3759" w:type="dxa"/>
            <w:tcBorders>
              <w:top w:val="single" w:sz="4" w:space="0" w:color="auto"/>
              <w:left w:val="single" w:sz="4" w:space="0" w:color="auto"/>
              <w:bottom w:val="single" w:sz="4" w:space="0" w:color="auto"/>
              <w:right w:val="single" w:sz="4" w:space="0" w:color="auto"/>
            </w:tcBorders>
          </w:tcPr>
          <w:p w14:paraId="5064074B" w14:textId="38832081" w:rsidR="00A63460" w:rsidRPr="007A3159" w:rsidRDefault="007A3159" w:rsidP="00E3614D">
            <w:pPr>
              <w:rPr>
                <w:rFonts w:ascii="Roboto" w:hAnsi="Roboto"/>
                <w:sz w:val="22"/>
                <w:szCs w:val="22"/>
                <w:lang w:val="en-GB"/>
              </w:rPr>
            </w:pPr>
            <w:r w:rsidRPr="007A3159">
              <w:rPr>
                <w:rFonts w:ascii="Roboto" w:hAnsi="Roboto"/>
                <w:sz w:val="22"/>
                <w:szCs w:val="22"/>
                <w:lang w:val="en-GB"/>
              </w:rPr>
              <w:t>Where can I submit a complaint if the training course did not meet my expectations?</w:t>
            </w:r>
          </w:p>
        </w:tc>
        <w:tc>
          <w:tcPr>
            <w:tcW w:w="6420" w:type="dxa"/>
            <w:tcBorders>
              <w:top w:val="single" w:sz="4" w:space="0" w:color="auto"/>
              <w:left w:val="single" w:sz="4" w:space="0" w:color="auto"/>
              <w:bottom w:val="single" w:sz="4" w:space="0" w:color="auto"/>
              <w:right w:val="single" w:sz="4" w:space="0" w:color="auto"/>
            </w:tcBorders>
          </w:tcPr>
          <w:p w14:paraId="7B8D366D" w14:textId="77777777" w:rsidR="007A3159" w:rsidRPr="007A3159" w:rsidRDefault="007A3159" w:rsidP="007A3159">
            <w:pPr>
              <w:rPr>
                <w:rFonts w:ascii="Roboto" w:hAnsi="Roboto"/>
                <w:sz w:val="22"/>
                <w:szCs w:val="22"/>
                <w:lang w:val="en-GB"/>
              </w:rPr>
            </w:pPr>
            <w:r w:rsidRPr="007A3159">
              <w:rPr>
                <w:rFonts w:ascii="Roboto" w:hAnsi="Roboto"/>
                <w:sz w:val="22"/>
                <w:szCs w:val="22"/>
                <w:lang w:val="en-GB"/>
              </w:rPr>
              <w:t>SIST strives to adapt its training courses as closely as possible to the expectations of participants. Participant satisfaction is monitored through questionnaires at each training course. If you are not satisfied with the training, complaints are accepted in writing within five (5) days after the completion of the training.</w:t>
            </w:r>
            <w:r w:rsidRPr="007A3159">
              <w:rPr>
                <w:rFonts w:ascii="Roboto" w:hAnsi="Roboto"/>
                <w:sz w:val="22"/>
                <w:szCs w:val="22"/>
                <w:lang w:val="en-GB"/>
              </w:rPr>
              <w:br/>
              <w:t>Any dissatisfaction is resolved through cooperation between the participant and SIST. For complaints that cannot be resolved amicably, the competent court in Ljubljana shall have jurisdiction.</w:t>
            </w:r>
          </w:p>
          <w:p w14:paraId="10B812D5" w14:textId="77777777" w:rsidR="00A63460" w:rsidRPr="007A3159" w:rsidRDefault="00A63460" w:rsidP="00E3614D">
            <w:pPr>
              <w:rPr>
                <w:rFonts w:ascii="Roboto" w:hAnsi="Roboto"/>
                <w:sz w:val="22"/>
                <w:szCs w:val="22"/>
                <w:lang w:val="en-GB"/>
              </w:rPr>
            </w:pPr>
          </w:p>
        </w:tc>
      </w:tr>
    </w:tbl>
    <w:p w14:paraId="10E5E5DC" w14:textId="77777777" w:rsidR="00A63460" w:rsidRPr="00794B30" w:rsidRDefault="00A63460" w:rsidP="00A63460">
      <w:pPr>
        <w:tabs>
          <w:tab w:val="left" w:pos="9225"/>
        </w:tabs>
      </w:pPr>
    </w:p>
    <w:p w14:paraId="437914B9" w14:textId="047E53CE" w:rsidR="007A3159" w:rsidRPr="007A3159" w:rsidRDefault="007A3159" w:rsidP="007A3159">
      <w:r w:rsidRPr="007A3159">
        <w:br/>
      </w:r>
    </w:p>
    <w:p w14:paraId="2D3966C4" w14:textId="77777777" w:rsidR="001709BC" w:rsidRDefault="001709BC"/>
    <w:sectPr w:rsidR="001709BC" w:rsidSect="00A63460">
      <w:headerReference w:type="default" r:id="rId5"/>
      <w:footerReference w:type="default" r:id="rId6"/>
      <w:pgSz w:w="11906" w:h="16838" w:code="9"/>
      <w:pgMar w:top="1134" w:right="567" w:bottom="567" w:left="1134" w:header="1134"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180"/>
      <w:gridCol w:w="898"/>
    </w:tblGrid>
    <w:tr w:rsidR="00A63460" w:rsidRPr="001A70F4" w14:paraId="3FFE87BD" w14:textId="77777777" w:rsidTr="001A70F4">
      <w:trPr>
        <w:trHeight w:val="701"/>
      </w:trPr>
      <w:tc>
        <w:tcPr>
          <w:tcW w:w="9180" w:type="dxa"/>
        </w:tcPr>
        <w:p w14:paraId="600ACE5E" w14:textId="77777777" w:rsidR="00A63460" w:rsidRDefault="00A63460" w:rsidP="008010B8">
          <w:pPr>
            <w:pStyle w:val="Noga"/>
            <w:spacing w:before="240"/>
            <w:rPr>
              <w:rFonts w:ascii="Arial" w:hAnsi="Arial"/>
              <w:sz w:val="12"/>
            </w:rPr>
          </w:pPr>
          <w:r w:rsidRPr="001A70F4">
            <w:rPr>
              <w:rFonts w:ascii="Arial" w:hAnsi="Arial"/>
              <w:sz w:val="12"/>
            </w:rPr>
            <w:t xml:space="preserve">SIST - Slovenski inštitut za standardizacijo, </w:t>
          </w:r>
          <w:r>
            <w:rPr>
              <w:rFonts w:ascii="Arial" w:hAnsi="Arial"/>
              <w:sz w:val="12"/>
            </w:rPr>
            <w:t>Ulica gledališča BTC 2</w:t>
          </w:r>
          <w:r w:rsidRPr="001A70F4">
            <w:rPr>
              <w:rFonts w:ascii="Arial" w:hAnsi="Arial"/>
              <w:sz w:val="12"/>
            </w:rPr>
            <w:t>, SI – 1000 Ljubljana, Vpis subjekta: Okrožno sodišče v Ljubljani</w:t>
          </w:r>
          <w:r>
            <w:rPr>
              <w:rFonts w:ascii="Arial" w:hAnsi="Arial"/>
              <w:sz w:val="12"/>
            </w:rPr>
            <w:t>, Št. reg. vložka:</w:t>
          </w:r>
          <w:r w:rsidRPr="001A70F4">
            <w:rPr>
              <w:rFonts w:ascii="Arial" w:hAnsi="Arial"/>
              <w:sz w:val="12"/>
            </w:rPr>
            <w:t xml:space="preserve">: 1/34235/00, </w:t>
          </w:r>
        </w:p>
        <w:p w14:paraId="199BCF95" w14:textId="77777777" w:rsidR="00A63460" w:rsidRPr="001A70F4" w:rsidRDefault="00A63460" w:rsidP="008010B8">
          <w:pPr>
            <w:pStyle w:val="Noga"/>
            <w:spacing w:before="240"/>
            <w:rPr>
              <w:rFonts w:ascii="Arial" w:hAnsi="Arial"/>
              <w:sz w:val="12"/>
            </w:rPr>
          </w:pPr>
          <w:r w:rsidRPr="001A70F4">
            <w:rPr>
              <w:rFonts w:ascii="Arial" w:hAnsi="Arial"/>
              <w:sz w:val="12"/>
            </w:rPr>
            <w:t xml:space="preserve">Matična št.: 1593781, Davčna št.: 83093931, </w:t>
          </w:r>
          <w:r w:rsidRPr="00FB48B0">
            <w:rPr>
              <w:rFonts w:ascii="Helv" w:hAnsi="Helv" w:cs="Helv"/>
              <w:b/>
              <w:bCs/>
              <w:color w:val="000000"/>
              <w:sz w:val="12"/>
              <w:szCs w:val="12"/>
              <w:lang w:eastAsia="sl-SI"/>
            </w:rPr>
            <w:t>TRR: 01100-6030348413</w:t>
          </w:r>
        </w:p>
      </w:tc>
      <w:tc>
        <w:tcPr>
          <w:tcW w:w="898" w:type="dxa"/>
        </w:tcPr>
        <w:p w14:paraId="0977477F" w14:textId="760E3750" w:rsidR="00A63460" w:rsidRPr="001A70F4" w:rsidRDefault="00A63460" w:rsidP="001A70F4">
          <w:pPr>
            <w:pStyle w:val="Noga"/>
            <w:tabs>
              <w:tab w:val="clear" w:pos="4320"/>
              <w:tab w:val="clear" w:pos="8640"/>
            </w:tabs>
            <w:spacing w:before="240"/>
            <w:rPr>
              <w:rFonts w:ascii="Arial" w:hAnsi="Arial"/>
              <w:sz w:val="12"/>
            </w:rPr>
          </w:pPr>
          <w:r w:rsidRPr="001A70F4">
            <w:rPr>
              <w:rFonts w:ascii="Arial" w:hAnsi="Arial"/>
              <w:noProof/>
              <w:sz w:val="12"/>
            </w:rPr>
            <w:drawing>
              <wp:inline distT="0" distB="0" distL="0" distR="0" wp14:anchorId="009E9D72" wp14:editId="4AC80254">
                <wp:extent cx="413385" cy="413385"/>
                <wp:effectExtent l="0" t="0" r="5715" b="5715"/>
                <wp:docPr id="4646260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inline>
            </w:drawing>
          </w:r>
        </w:p>
      </w:tc>
    </w:tr>
  </w:tbl>
  <w:p w14:paraId="22AA24C5" w14:textId="77777777" w:rsidR="00A63460" w:rsidRPr="00547BC0" w:rsidRDefault="00A63460">
    <w:pPr>
      <w:pStyle w:val="Noga"/>
      <w:spacing w:before="240"/>
      <w:rPr>
        <w:rFonts w:ascii="Arial" w:hAnsi="Arial"/>
        <w:sz w:val="12"/>
      </w:rPr>
    </w:pPr>
    <w:r>
      <w:rPr>
        <w:rFonts w:ascii="Arial" w:hAnsi="Arial"/>
        <w:sz w:val="12"/>
      </w:rPr>
      <w:tab/>
    </w:r>
  </w:p>
  <w:p w14:paraId="74515B80" w14:textId="77777777" w:rsidR="00A63460" w:rsidRDefault="00A63460">
    <w:pPr>
      <w:pStyle w:val="Nog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5353"/>
      <w:gridCol w:w="4501"/>
    </w:tblGrid>
    <w:tr w:rsidR="00A63460" w14:paraId="437311DD" w14:textId="77777777">
      <w:tblPrEx>
        <w:tblCellMar>
          <w:top w:w="0" w:type="dxa"/>
          <w:bottom w:w="0" w:type="dxa"/>
        </w:tblCellMar>
      </w:tblPrEx>
      <w:tc>
        <w:tcPr>
          <w:tcW w:w="5353" w:type="dxa"/>
        </w:tcPr>
        <w:p w14:paraId="1B53B5FB" w14:textId="77777777" w:rsidR="00A63460" w:rsidRDefault="00A63460">
          <w:pPr>
            <w:pStyle w:val="Glava"/>
          </w:pPr>
        </w:p>
      </w:tc>
      <w:tc>
        <w:tcPr>
          <w:tcW w:w="4501" w:type="dxa"/>
        </w:tcPr>
        <w:p w14:paraId="75792450" w14:textId="35A583B4" w:rsidR="00A63460" w:rsidRDefault="00A63460">
          <w:pPr>
            <w:pStyle w:val="Glava"/>
          </w:pPr>
          <w:r>
            <w:rPr>
              <w:noProof/>
            </w:rPr>
            <w:drawing>
              <wp:inline distT="0" distB="0" distL="0" distR="0" wp14:anchorId="5EAFDA39" wp14:editId="70598739">
                <wp:extent cx="1450975" cy="536575"/>
                <wp:effectExtent l="0" t="0" r="0" b="0"/>
                <wp:docPr id="19615718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536575"/>
                        </a:xfrm>
                        <a:prstGeom prst="rect">
                          <a:avLst/>
                        </a:prstGeom>
                        <a:noFill/>
                        <a:ln>
                          <a:noFill/>
                        </a:ln>
                      </pic:spPr>
                    </pic:pic>
                  </a:graphicData>
                </a:graphic>
              </wp:inline>
            </w:drawing>
          </w:r>
        </w:p>
      </w:tc>
    </w:tr>
  </w:tbl>
  <w:p w14:paraId="30812E6B" w14:textId="77777777" w:rsidR="00A63460" w:rsidRDefault="00A6346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60"/>
    <w:rsid w:val="001709BC"/>
    <w:rsid w:val="001C1304"/>
    <w:rsid w:val="00422D72"/>
    <w:rsid w:val="0062352F"/>
    <w:rsid w:val="007A3159"/>
    <w:rsid w:val="00A63460"/>
    <w:rsid w:val="00D57B59"/>
    <w:rsid w:val="00EF19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407A"/>
  <w15:chartTrackingRefBased/>
  <w15:docId w15:val="{F4FBAD91-E547-481E-A640-BC4C7D94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3460"/>
    <w:pPr>
      <w:spacing w:after="0" w:line="240" w:lineRule="auto"/>
    </w:pPr>
    <w:rPr>
      <w:rFonts w:ascii="Times New Roman" w:eastAsia="Times New Roman" w:hAnsi="Times New Roman" w:cs="Times New Roman"/>
      <w:kern w:val="0"/>
      <w:sz w:val="20"/>
      <w:szCs w:val="20"/>
      <w14:ligatures w14:val="none"/>
    </w:rPr>
  </w:style>
  <w:style w:type="paragraph" w:styleId="Naslov1">
    <w:name w:val="heading 1"/>
    <w:basedOn w:val="Navaden"/>
    <w:next w:val="Navaden"/>
    <w:link w:val="Naslov1Znak"/>
    <w:uiPriority w:val="9"/>
    <w:qFormat/>
    <w:rsid w:val="00A63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63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6346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6346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6346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6346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6346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6346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6346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6346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6346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6346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6346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6346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6346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6346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6346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63460"/>
    <w:rPr>
      <w:rFonts w:eastAsiaTheme="majorEastAsia" w:cstheme="majorBidi"/>
      <w:color w:val="272727" w:themeColor="text1" w:themeTint="D8"/>
    </w:rPr>
  </w:style>
  <w:style w:type="paragraph" w:styleId="Naslov">
    <w:name w:val="Title"/>
    <w:basedOn w:val="Navaden"/>
    <w:next w:val="Navaden"/>
    <w:link w:val="NaslovZnak"/>
    <w:uiPriority w:val="10"/>
    <w:qFormat/>
    <w:rsid w:val="00A6346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6346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6346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6346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63460"/>
    <w:pPr>
      <w:spacing w:before="160"/>
      <w:jc w:val="center"/>
    </w:pPr>
    <w:rPr>
      <w:i/>
      <w:iCs/>
      <w:color w:val="404040" w:themeColor="text1" w:themeTint="BF"/>
    </w:rPr>
  </w:style>
  <w:style w:type="character" w:customStyle="1" w:styleId="CitatZnak">
    <w:name w:val="Citat Znak"/>
    <w:basedOn w:val="Privzetapisavaodstavka"/>
    <w:link w:val="Citat"/>
    <w:uiPriority w:val="29"/>
    <w:rsid w:val="00A63460"/>
    <w:rPr>
      <w:i/>
      <w:iCs/>
      <w:color w:val="404040" w:themeColor="text1" w:themeTint="BF"/>
    </w:rPr>
  </w:style>
  <w:style w:type="paragraph" w:styleId="Odstavekseznama">
    <w:name w:val="List Paragraph"/>
    <w:basedOn w:val="Navaden"/>
    <w:uiPriority w:val="34"/>
    <w:qFormat/>
    <w:rsid w:val="00A63460"/>
    <w:pPr>
      <w:ind w:left="720"/>
      <w:contextualSpacing/>
    </w:pPr>
  </w:style>
  <w:style w:type="character" w:styleId="Intenzivenpoudarek">
    <w:name w:val="Intense Emphasis"/>
    <w:basedOn w:val="Privzetapisavaodstavka"/>
    <w:uiPriority w:val="21"/>
    <w:qFormat/>
    <w:rsid w:val="00A63460"/>
    <w:rPr>
      <w:i/>
      <w:iCs/>
      <w:color w:val="2F5496" w:themeColor="accent1" w:themeShade="BF"/>
    </w:rPr>
  </w:style>
  <w:style w:type="paragraph" w:styleId="Intenzivencitat">
    <w:name w:val="Intense Quote"/>
    <w:basedOn w:val="Navaden"/>
    <w:next w:val="Navaden"/>
    <w:link w:val="IntenzivencitatZnak"/>
    <w:uiPriority w:val="30"/>
    <w:qFormat/>
    <w:rsid w:val="00A63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63460"/>
    <w:rPr>
      <w:i/>
      <w:iCs/>
      <w:color w:val="2F5496" w:themeColor="accent1" w:themeShade="BF"/>
    </w:rPr>
  </w:style>
  <w:style w:type="character" w:styleId="Intenzivensklic">
    <w:name w:val="Intense Reference"/>
    <w:basedOn w:val="Privzetapisavaodstavka"/>
    <w:uiPriority w:val="32"/>
    <w:qFormat/>
    <w:rsid w:val="00A63460"/>
    <w:rPr>
      <w:b/>
      <w:bCs/>
      <w:smallCaps/>
      <w:color w:val="2F5496" w:themeColor="accent1" w:themeShade="BF"/>
      <w:spacing w:val="5"/>
    </w:rPr>
  </w:style>
  <w:style w:type="paragraph" w:styleId="Glava">
    <w:name w:val="header"/>
    <w:basedOn w:val="Navaden"/>
    <w:link w:val="GlavaZnak"/>
    <w:rsid w:val="00A63460"/>
    <w:pPr>
      <w:tabs>
        <w:tab w:val="center" w:pos="4320"/>
        <w:tab w:val="right" w:pos="8640"/>
      </w:tabs>
    </w:pPr>
  </w:style>
  <w:style w:type="character" w:customStyle="1" w:styleId="GlavaZnak">
    <w:name w:val="Glava Znak"/>
    <w:basedOn w:val="Privzetapisavaodstavka"/>
    <w:link w:val="Glava"/>
    <w:rsid w:val="00A63460"/>
    <w:rPr>
      <w:rFonts w:ascii="Times New Roman" w:eastAsia="Times New Roman" w:hAnsi="Times New Roman" w:cs="Times New Roman"/>
      <w:kern w:val="0"/>
      <w:sz w:val="20"/>
      <w:szCs w:val="20"/>
      <w14:ligatures w14:val="none"/>
    </w:rPr>
  </w:style>
  <w:style w:type="paragraph" w:styleId="Noga">
    <w:name w:val="footer"/>
    <w:basedOn w:val="Navaden"/>
    <w:link w:val="NogaZnak"/>
    <w:rsid w:val="00A63460"/>
    <w:pPr>
      <w:tabs>
        <w:tab w:val="center" w:pos="4320"/>
        <w:tab w:val="right" w:pos="8640"/>
      </w:tabs>
    </w:pPr>
  </w:style>
  <w:style w:type="character" w:customStyle="1" w:styleId="NogaZnak">
    <w:name w:val="Noga Znak"/>
    <w:basedOn w:val="Privzetapisavaodstavka"/>
    <w:link w:val="Noga"/>
    <w:rsid w:val="00A63460"/>
    <w:rPr>
      <w:rFonts w:ascii="Times New Roman" w:eastAsia="Times New Roman" w:hAnsi="Times New Roman" w:cs="Times New Roman"/>
      <w:kern w:val="0"/>
      <w:sz w:val="20"/>
      <w:szCs w:val="20"/>
      <w14:ligatures w14:val="none"/>
    </w:rPr>
  </w:style>
  <w:style w:type="character" w:styleId="Hiperpovezava">
    <w:name w:val="Hyperlink"/>
    <w:uiPriority w:val="99"/>
    <w:unhideWhenUsed/>
    <w:rsid w:val="00A63460"/>
    <w:rPr>
      <w:color w:val="0563C1"/>
      <w:u w:val="single"/>
    </w:rPr>
  </w:style>
  <w:style w:type="character" w:styleId="Nerazreenaomemba">
    <w:name w:val="Unresolved Mention"/>
    <w:basedOn w:val="Privzetapisavaodstavka"/>
    <w:uiPriority w:val="99"/>
    <w:semiHidden/>
    <w:unhideWhenUsed/>
    <w:rsid w:val="007A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s://sl.sist.si/izobrazevanja-in-storitve/izobrazevanja/koledar-izobrazevanj"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Doplihar</dc:creator>
  <cp:keywords/>
  <dc:description/>
  <cp:lastModifiedBy>Patricija Doplihar</cp:lastModifiedBy>
  <cp:revision>2</cp:revision>
  <dcterms:created xsi:type="dcterms:W3CDTF">2026-01-08T10:27:00Z</dcterms:created>
  <dcterms:modified xsi:type="dcterms:W3CDTF">2026-01-08T10:38:00Z</dcterms:modified>
</cp:coreProperties>
</file>